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682" w:rsidRDefault="00687200" w:rsidP="00342BC6">
      <w:pPr>
        <w:rPr>
          <w:b/>
          <w:bCs/>
          <w:sz w:val="20"/>
          <w:szCs w:val="20"/>
        </w:rPr>
      </w:pPr>
      <w:r w:rsidRPr="00092A1F">
        <w:rPr>
          <w:b/>
          <w:bCs/>
          <w:sz w:val="20"/>
          <w:szCs w:val="20"/>
        </w:rPr>
        <w:t xml:space="preserve">EA </w:t>
      </w:r>
      <w:r w:rsidR="000B2FE6">
        <w:rPr>
          <w:b/>
          <w:bCs/>
          <w:sz w:val="20"/>
          <w:szCs w:val="20"/>
        </w:rPr>
        <w:t xml:space="preserve">Java </w:t>
      </w:r>
      <w:r w:rsidR="000E1FA2">
        <w:rPr>
          <w:b/>
          <w:bCs/>
          <w:sz w:val="20"/>
          <w:szCs w:val="20"/>
        </w:rPr>
        <w:t>to COBOL</w:t>
      </w:r>
      <w:r w:rsidR="000B2FE6">
        <w:rPr>
          <w:b/>
          <w:bCs/>
          <w:sz w:val="20"/>
          <w:szCs w:val="20"/>
        </w:rPr>
        <w:t xml:space="preserve"> Demo</w:t>
      </w:r>
      <w:r w:rsidR="000011BE">
        <w:rPr>
          <w:b/>
          <w:bCs/>
          <w:sz w:val="20"/>
          <w:szCs w:val="20"/>
        </w:rPr>
        <w:t xml:space="preserve"> </w:t>
      </w:r>
      <w:r w:rsidR="00342BC6">
        <w:rPr>
          <w:b/>
          <w:bCs/>
          <w:sz w:val="20"/>
          <w:szCs w:val="20"/>
        </w:rPr>
        <w:t>Script</w:t>
      </w:r>
      <w:r w:rsidR="000011BE">
        <w:rPr>
          <w:b/>
          <w:bCs/>
          <w:sz w:val="20"/>
          <w:szCs w:val="20"/>
        </w:rPr>
        <w:t xml:space="preserve"> </w:t>
      </w:r>
    </w:p>
    <w:p w:rsidR="007028BF" w:rsidRDefault="007028BF" w:rsidP="007028BF">
      <w:pPr>
        <w:rPr>
          <w:sz w:val="20"/>
          <w:szCs w:val="20"/>
        </w:rPr>
      </w:pPr>
      <w:proofErr w:type="gramStart"/>
      <w:r>
        <w:rPr>
          <w:sz w:val="20"/>
          <w:szCs w:val="20"/>
        </w:rPr>
        <w:t>N.B.</w:t>
      </w:r>
      <w:proofErr w:type="gramEnd"/>
      <w:r>
        <w:rPr>
          <w:sz w:val="20"/>
          <w:szCs w:val="20"/>
        </w:rPr>
        <w:t xml:space="preserve">  Prior to doing a demonstration, the workspace should be prepared as per the instructions in the ‘Java Boundary Detection Workflow’</w:t>
      </w:r>
      <w:r w:rsidR="00BC676E">
        <w:rPr>
          <w:sz w:val="20"/>
          <w:szCs w:val="20"/>
        </w:rPr>
        <w:t xml:space="preserve"> document contained in the Demonstration Package</w:t>
      </w:r>
      <w:r>
        <w:rPr>
          <w:sz w:val="20"/>
          <w:szCs w:val="20"/>
        </w:rPr>
        <w:t xml:space="preserve">. </w:t>
      </w:r>
    </w:p>
    <w:tbl>
      <w:tblPr>
        <w:tblStyle w:val="TableGrid"/>
        <w:tblW w:w="0" w:type="auto"/>
        <w:tblLook w:val="04A0"/>
      </w:tblPr>
      <w:tblGrid>
        <w:gridCol w:w="5418"/>
        <w:gridCol w:w="4158"/>
      </w:tblGrid>
      <w:tr w:rsidR="00605DCE" w:rsidTr="003B4AA4">
        <w:trPr>
          <w:tblHeader/>
        </w:trPr>
        <w:tc>
          <w:tcPr>
            <w:tcW w:w="5418" w:type="dxa"/>
            <w:shd w:val="clear" w:color="auto" w:fill="FFFF00"/>
          </w:tcPr>
          <w:p w:rsidR="00605DCE" w:rsidRPr="003B4AA4" w:rsidRDefault="00605DCE" w:rsidP="00D26ADC">
            <w:pPr>
              <w:rPr>
                <w:b/>
                <w:bCs/>
                <w:sz w:val="20"/>
                <w:szCs w:val="20"/>
              </w:rPr>
            </w:pPr>
            <w:r w:rsidRPr="003B4AA4">
              <w:rPr>
                <w:b/>
                <w:bCs/>
                <w:sz w:val="20"/>
                <w:szCs w:val="20"/>
              </w:rPr>
              <w:t>Script</w:t>
            </w:r>
          </w:p>
        </w:tc>
        <w:tc>
          <w:tcPr>
            <w:tcW w:w="4158" w:type="dxa"/>
            <w:shd w:val="clear" w:color="auto" w:fill="FFFF00"/>
          </w:tcPr>
          <w:p w:rsidR="00605DCE" w:rsidRPr="003B4AA4" w:rsidRDefault="00605DCE" w:rsidP="00770B2C">
            <w:pPr>
              <w:pStyle w:val="Bullet"/>
              <w:numPr>
                <w:ilvl w:val="0"/>
                <w:numId w:val="0"/>
              </w:numPr>
            </w:pPr>
            <w:r w:rsidRPr="003B4AA4">
              <w:t>Keystrokes</w:t>
            </w:r>
          </w:p>
        </w:tc>
      </w:tr>
      <w:tr w:rsidR="00605DCE" w:rsidTr="003B4AA4">
        <w:tc>
          <w:tcPr>
            <w:tcW w:w="5418" w:type="dxa"/>
          </w:tcPr>
          <w:p w:rsidR="00453CF3" w:rsidRPr="00453CF3" w:rsidRDefault="00453CF3" w:rsidP="007028BF">
            <w:pPr>
              <w:rPr>
                <w:sz w:val="20"/>
                <w:szCs w:val="20"/>
              </w:rPr>
            </w:pPr>
            <w:r w:rsidRPr="00453CF3">
              <w:rPr>
                <w:sz w:val="20"/>
                <w:szCs w:val="20"/>
              </w:rPr>
              <w:t xml:space="preserve">Modern Enterprise Information Systems typically comprise applications across different platforms – mainframe, distributed, midrange, and open. Insight into the connection points between these applications is vital for a complete understanding of the dependencies across the system.  </w:t>
            </w:r>
          </w:p>
          <w:p w:rsidR="00453CF3" w:rsidRDefault="00453CF3" w:rsidP="007028BF">
            <w:pPr>
              <w:rPr>
                <w:sz w:val="20"/>
                <w:szCs w:val="20"/>
              </w:rPr>
            </w:pPr>
          </w:p>
          <w:p w:rsidR="00605DCE" w:rsidRPr="00605DCE" w:rsidRDefault="00605DCE" w:rsidP="007028BF">
            <w:pPr>
              <w:rPr>
                <w:sz w:val="20"/>
                <w:szCs w:val="20"/>
              </w:rPr>
            </w:pPr>
            <w:r w:rsidRPr="00605DCE">
              <w:rPr>
                <w:sz w:val="20"/>
                <w:szCs w:val="20"/>
              </w:rPr>
              <w:t>Let</w:t>
            </w:r>
            <w:r>
              <w:rPr>
                <w:sz w:val="20"/>
                <w:szCs w:val="20"/>
              </w:rPr>
              <w:t>’</w:t>
            </w:r>
            <w:r w:rsidRPr="00605DCE">
              <w:rPr>
                <w:sz w:val="20"/>
                <w:szCs w:val="20"/>
              </w:rPr>
              <w:t xml:space="preserve">s start by opening a workspace, </w:t>
            </w:r>
            <w:r w:rsidR="002A63C7">
              <w:rPr>
                <w:sz w:val="20"/>
                <w:szCs w:val="20"/>
              </w:rPr>
              <w:t xml:space="preserve">which includes both Java and </w:t>
            </w:r>
            <w:r w:rsidR="000E1FA2">
              <w:rPr>
                <w:sz w:val="20"/>
                <w:szCs w:val="20"/>
              </w:rPr>
              <w:t>COBOL</w:t>
            </w:r>
            <w:r w:rsidR="002A63C7">
              <w:rPr>
                <w:sz w:val="20"/>
                <w:szCs w:val="20"/>
              </w:rPr>
              <w:t xml:space="preserve"> sources, and ask ourselves how do we go about looking for the connections from Java Classes to </w:t>
            </w:r>
            <w:r w:rsidR="000E1FA2">
              <w:rPr>
                <w:sz w:val="20"/>
                <w:szCs w:val="20"/>
              </w:rPr>
              <w:t>COBOL</w:t>
            </w:r>
            <w:r w:rsidR="002A63C7">
              <w:rPr>
                <w:sz w:val="20"/>
                <w:szCs w:val="20"/>
              </w:rPr>
              <w:t xml:space="preserve"> programs</w:t>
            </w:r>
            <w:r w:rsidR="007028BF">
              <w:rPr>
                <w:sz w:val="20"/>
                <w:szCs w:val="20"/>
              </w:rPr>
              <w:t>?</w:t>
            </w:r>
          </w:p>
        </w:tc>
        <w:tc>
          <w:tcPr>
            <w:tcW w:w="4158" w:type="dxa"/>
          </w:tcPr>
          <w:p w:rsidR="00605DCE" w:rsidRDefault="00605DCE" w:rsidP="00770B2C">
            <w:pPr>
              <w:pStyle w:val="Bullet"/>
            </w:pPr>
            <w:r>
              <w:t>Open EA</w:t>
            </w:r>
          </w:p>
          <w:p w:rsidR="00605DCE" w:rsidRPr="00605DCE" w:rsidRDefault="00605DCE" w:rsidP="007028BF">
            <w:pPr>
              <w:pStyle w:val="Bullet"/>
            </w:pPr>
            <w:r>
              <w:t xml:space="preserve">Select </w:t>
            </w:r>
            <w:r w:rsidR="007028BF">
              <w:t>J2C_Demo</w:t>
            </w:r>
            <w:r>
              <w:t xml:space="preserve"> workspace</w:t>
            </w:r>
          </w:p>
        </w:tc>
      </w:tr>
      <w:tr w:rsidR="00605DCE" w:rsidTr="003B4AA4">
        <w:tc>
          <w:tcPr>
            <w:tcW w:w="5418" w:type="dxa"/>
          </w:tcPr>
          <w:p w:rsidR="00605DCE" w:rsidRPr="00605DCE" w:rsidRDefault="00605DCE" w:rsidP="00453CF3">
            <w:pPr>
              <w:rPr>
                <w:sz w:val="20"/>
                <w:szCs w:val="20"/>
              </w:rPr>
            </w:pPr>
            <w:r w:rsidRPr="00605DCE">
              <w:rPr>
                <w:sz w:val="20"/>
                <w:szCs w:val="20"/>
              </w:rPr>
              <w:t xml:space="preserve">Upon entry to Enterprise Analyzer, we see at left a repository browser which shows us all of the sources. The repository is organized into projects, each representing a sub-system we have designated, or – as in the case of </w:t>
            </w:r>
            <w:r w:rsidR="00453CF3">
              <w:rPr>
                <w:sz w:val="20"/>
                <w:szCs w:val="20"/>
              </w:rPr>
              <w:t>this demo</w:t>
            </w:r>
            <w:r w:rsidRPr="00605DCE">
              <w:rPr>
                <w:sz w:val="20"/>
                <w:szCs w:val="20"/>
              </w:rPr>
              <w:t xml:space="preserve"> project, the entire system</w:t>
            </w:r>
            <w:r w:rsidR="00453CF3">
              <w:rPr>
                <w:sz w:val="20"/>
                <w:szCs w:val="20"/>
              </w:rPr>
              <w:t>.</w:t>
            </w:r>
          </w:p>
        </w:tc>
        <w:tc>
          <w:tcPr>
            <w:tcW w:w="4158" w:type="dxa"/>
          </w:tcPr>
          <w:p w:rsidR="00605DCE" w:rsidRPr="00605DCE" w:rsidRDefault="003B4AA4" w:rsidP="00770B2C">
            <w:pPr>
              <w:pStyle w:val="Bullet"/>
            </w:pPr>
            <w:r>
              <w:t>Pan cursor to left – repository browser</w:t>
            </w:r>
          </w:p>
        </w:tc>
      </w:tr>
      <w:tr w:rsidR="00605DCE" w:rsidTr="003B4AA4">
        <w:tc>
          <w:tcPr>
            <w:tcW w:w="5418" w:type="dxa"/>
          </w:tcPr>
          <w:p w:rsidR="00605DCE" w:rsidRPr="00605DCE" w:rsidRDefault="00605DCE" w:rsidP="00453CF3">
            <w:pPr>
              <w:rPr>
                <w:sz w:val="20"/>
                <w:szCs w:val="20"/>
              </w:rPr>
            </w:pPr>
            <w:r w:rsidRPr="00605DCE">
              <w:rPr>
                <w:sz w:val="20"/>
                <w:szCs w:val="20"/>
              </w:rPr>
              <w:t>At right, we see graphical views of some key metrics, such as Inventory for a project and a Complexity report to give us some initial information about the application’s size and compos</w:t>
            </w:r>
            <w:r w:rsidR="00453CF3">
              <w:rPr>
                <w:sz w:val="20"/>
                <w:szCs w:val="20"/>
              </w:rPr>
              <w:t>ition</w:t>
            </w:r>
            <w:r w:rsidRPr="00605DCE">
              <w:rPr>
                <w:sz w:val="20"/>
                <w:szCs w:val="20"/>
              </w:rPr>
              <w:t>.</w:t>
            </w:r>
          </w:p>
        </w:tc>
        <w:tc>
          <w:tcPr>
            <w:tcW w:w="4158" w:type="dxa"/>
          </w:tcPr>
          <w:p w:rsidR="00605DCE" w:rsidRPr="00605DCE" w:rsidRDefault="003B4AA4" w:rsidP="00770B2C">
            <w:pPr>
              <w:pStyle w:val="Bullet"/>
            </w:pPr>
            <w:r>
              <w:t>Pan cursor to right – Quick view charts</w:t>
            </w:r>
          </w:p>
        </w:tc>
      </w:tr>
      <w:tr w:rsidR="00605DCE" w:rsidTr="003B4AA4">
        <w:tc>
          <w:tcPr>
            <w:tcW w:w="5418" w:type="dxa"/>
          </w:tcPr>
          <w:p w:rsidR="00605DCE" w:rsidRPr="00605DCE" w:rsidRDefault="00605DCE" w:rsidP="007028BF">
            <w:pPr>
              <w:rPr>
                <w:sz w:val="20"/>
                <w:szCs w:val="20"/>
              </w:rPr>
            </w:pPr>
            <w:r w:rsidRPr="00605DCE">
              <w:rPr>
                <w:sz w:val="20"/>
                <w:szCs w:val="20"/>
              </w:rPr>
              <w:t xml:space="preserve">Let’s now have a look at the </w:t>
            </w:r>
            <w:r w:rsidR="007028BF">
              <w:rPr>
                <w:sz w:val="20"/>
                <w:szCs w:val="20"/>
              </w:rPr>
              <w:t>J2C Demo workspace</w:t>
            </w:r>
            <w:r w:rsidRPr="00605DCE">
              <w:rPr>
                <w:sz w:val="20"/>
                <w:szCs w:val="20"/>
              </w:rPr>
              <w:t xml:space="preserve">. As we drill into its artifacts, information about its member sources and their dependencies on other system objects is revealed. </w:t>
            </w:r>
          </w:p>
        </w:tc>
        <w:tc>
          <w:tcPr>
            <w:tcW w:w="4158" w:type="dxa"/>
          </w:tcPr>
          <w:p w:rsidR="00605DCE" w:rsidRPr="00605DCE" w:rsidRDefault="003B4AA4" w:rsidP="00A2059B">
            <w:pPr>
              <w:pStyle w:val="Bullet"/>
            </w:pPr>
            <w:r>
              <w:t xml:space="preserve">Repository Browser, click on </w:t>
            </w:r>
            <w:r w:rsidR="00A2059B">
              <w:t xml:space="preserve">J2C_Demo </w:t>
            </w:r>
            <w:r>
              <w:t xml:space="preserve"> project</w:t>
            </w:r>
          </w:p>
        </w:tc>
      </w:tr>
      <w:tr w:rsidR="000E1FA2" w:rsidTr="003B4AA4">
        <w:tc>
          <w:tcPr>
            <w:tcW w:w="5418" w:type="dxa"/>
          </w:tcPr>
          <w:p w:rsidR="000E1FA2" w:rsidRPr="00605DCE" w:rsidRDefault="000E1FA2" w:rsidP="005C11F9">
            <w:pPr>
              <w:rPr>
                <w:sz w:val="20"/>
                <w:szCs w:val="20"/>
              </w:rPr>
            </w:pPr>
            <w:r w:rsidRPr="00605DCE">
              <w:rPr>
                <w:sz w:val="20"/>
                <w:szCs w:val="20"/>
              </w:rPr>
              <w:t>For example, for the source ORDRENT1, we are able to see that it defines a program called ORDRENT1, calls the INTEDIT and NUMEDIT programs, reads from the customer master and product files, writes into the invoice file, interacts with screens, starts certain transactions, and includes a number of copybook files. Navigating this browser, you are essentially viewing the Enterprise Analyzer meta-model at its basic level, corresponding to OMG’s knowledge domain model.</w:t>
            </w:r>
          </w:p>
        </w:tc>
        <w:tc>
          <w:tcPr>
            <w:tcW w:w="4158" w:type="dxa"/>
          </w:tcPr>
          <w:p w:rsidR="000E1FA2" w:rsidRPr="00605DCE" w:rsidRDefault="000E1FA2" w:rsidP="005C11F9">
            <w:pPr>
              <w:pStyle w:val="Bullet"/>
            </w:pPr>
            <w:r>
              <w:t>Expand COBOL File/ ORDRENT1 and its dependent objects</w:t>
            </w:r>
          </w:p>
        </w:tc>
      </w:tr>
      <w:tr w:rsidR="00A2059B" w:rsidTr="003B4AA4">
        <w:tc>
          <w:tcPr>
            <w:tcW w:w="5418" w:type="dxa"/>
          </w:tcPr>
          <w:p w:rsidR="00A2059B" w:rsidRPr="00605DCE" w:rsidRDefault="00A2059B" w:rsidP="00A2059B">
            <w:pPr>
              <w:rPr>
                <w:sz w:val="20"/>
                <w:szCs w:val="20"/>
              </w:rPr>
            </w:pPr>
            <w:r>
              <w:rPr>
                <w:sz w:val="20"/>
                <w:szCs w:val="20"/>
              </w:rPr>
              <w:t xml:space="preserve">Equally, we can see how Java File </w:t>
            </w:r>
            <w:proofErr w:type="spellStart"/>
            <w:r>
              <w:rPr>
                <w:sz w:val="20"/>
                <w:szCs w:val="20"/>
              </w:rPr>
              <w:t>GetBusinessProcessName</w:t>
            </w:r>
            <w:proofErr w:type="spellEnd"/>
            <w:r>
              <w:rPr>
                <w:sz w:val="20"/>
                <w:szCs w:val="20"/>
              </w:rPr>
              <w:t xml:space="preserve"> has also been expanded into Classes and Methods following successful verification.</w:t>
            </w:r>
          </w:p>
        </w:tc>
        <w:tc>
          <w:tcPr>
            <w:tcW w:w="4158" w:type="dxa"/>
          </w:tcPr>
          <w:p w:rsidR="00A2059B" w:rsidRPr="00605DCE" w:rsidRDefault="00A2059B" w:rsidP="00A2059B">
            <w:pPr>
              <w:pStyle w:val="Bullet"/>
            </w:pPr>
            <w:r>
              <w:t>Expand Java File/</w:t>
            </w:r>
            <w:proofErr w:type="spellStart"/>
            <w:r>
              <w:t>GetBusinessProcessName</w:t>
            </w:r>
            <w:proofErr w:type="spellEnd"/>
            <w:r>
              <w:t xml:space="preserve"> and its dependent objects</w:t>
            </w:r>
          </w:p>
        </w:tc>
      </w:tr>
      <w:tr w:rsidR="00605DCE" w:rsidTr="003B4AA4">
        <w:tc>
          <w:tcPr>
            <w:tcW w:w="5418" w:type="dxa"/>
          </w:tcPr>
          <w:p w:rsidR="00605DCE" w:rsidRPr="00605DCE" w:rsidRDefault="00A2059B" w:rsidP="00A2059B">
            <w:pPr>
              <w:rPr>
                <w:sz w:val="20"/>
                <w:szCs w:val="20"/>
              </w:rPr>
            </w:pPr>
            <w:r>
              <w:rPr>
                <w:sz w:val="20"/>
                <w:szCs w:val="20"/>
              </w:rPr>
              <w:t xml:space="preserve">For the purposes of this example, we know that the customer uses the CICS Transaction Gateway to call </w:t>
            </w:r>
            <w:r w:rsidR="000E1FA2">
              <w:rPr>
                <w:sz w:val="20"/>
                <w:szCs w:val="20"/>
              </w:rPr>
              <w:t>COBOL</w:t>
            </w:r>
            <w:r>
              <w:rPr>
                <w:sz w:val="20"/>
                <w:szCs w:val="20"/>
              </w:rPr>
              <w:t xml:space="preserve"> programs, passing the request via the ECI Request Data Area.  The customer thinks this starts with the characters “ECI”. </w:t>
            </w:r>
          </w:p>
        </w:tc>
        <w:tc>
          <w:tcPr>
            <w:tcW w:w="4158" w:type="dxa"/>
          </w:tcPr>
          <w:p w:rsidR="00605DCE" w:rsidRPr="00605DCE" w:rsidRDefault="00605DCE" w:rsidP="00770B2C">
            <w:pPr>
              <w:pStyle w:val="Bullet"/>
            </w:pPr>
          </w:p>
        </w:tc>
      </w:tr>
      <w:tr w:rsidR="00605DCE" w:rsidTr="003B4AA4">
        <w:tc>
          <w:tcPr>
            <w:tcW w:w="5418" w:type="dxa"/>
          </w:tcPr>
          <w:p w:rsidR="00605DCE" w:rsidRPr="00605DCE" w:rsidRDefault="00A2059B" w:rsidP="00EF0335">
            <w:pPr>
              <w:rPr>
                <w:sz w:val="20"/>
                <w:szCs w:val="20"/>
              </w:rPr>
            </w:pPr>
            <w:r>
              <w:rPr>
                <w:sz w:val="20"/>
                <w:szCs w:val="20"/>
              </w:rPr>
              <w:t xml:space="preserve">We will use the Interactive Analysis feature for Java to look for uses of this data area.  </w:t>
            </w:r>
            <w:proofErr w:type="gramStart"/>
            <w:r>
              <w:rPr>
                <w:sz w:val="20"/>
                <w:szCs w:val="20"/>
              </w:rPr>
              <w:t>Note  that</w:t>
            </w:r>
            <w:proofErr w:type="gramEnd"/>
            <w:r>
              <w:rPr>
                <w:sz w:val="20"/>
                <w:szCs w:val="20"/>
              </w:rPr>
              <w:t xml:space="preserve"> the Clipper search facility contains pre-defined queries that may be customized according to requirements.  In this case we </w:t>
            </w:r>
            <w:r w:rsidR="00EF0335">
              <w:rPr>
                <w:sz w:val="20"/>
                <w:szCs w:val="20"/>
              </w:rPr>
              <w:t>will</w:t>
            </w:r>
            <w:r>
              <w:rPr>
                <w:sz w:val="20"/>
                <w:szCs w:val="20"/>
              </w:rPr>
              <w:t xml:space="preserve"> use the query</w:t>
            </w:r>
            <w:r w:rsidR="00EF0335">
              <w:rPr>
                <w:sz w:val="20"/>
                <w:szCs w:val="20"/>
              </w:rPr>
              <w:t xml:space="preserve"> ‘ECI Variable Identification’ to look for relevant variables.</w:t>
            </w:r>
            <w:r w:rsidR="00605DCE" w:rsidRPr="00605DCE">
              <w:rPr>
                <w:sz w:val="20"/>
                <w:szCs w:val="20"/>
              </w:rPr>
              <w:t xml:space="preserve"> </w:t>
            </w:r>
          </w:p>
        </w:tc>
        <w:tc>
          <w:tcPr>
            <w:tcW w:w="4158" w:type="dxa"/>
          </w:tcPr>
          <w:p w:rsidR="00EF0335" w:rsidRDefault="00EF0335" w:rsidP="00770B2C">
            <w:pPr>
              <w:pStyle w:val="Bullet"/>
            </w:pPr>
            <w:r>
              <w:t xml:space="preserve">Right-click on a Java file and select Interactive Analysis </w:t>
            </w:r>
          </w:p>
          <w:p w:rsidR="00605DCE" w:rsidRDefault="00EF0335" w:rsidP="00770B2C">
            <w:pPr>
              <w:pStyle w:val="Bullet"/>
            </w:pPr>
            <w:r>
              <w:t>Select Clipper from ‘View’ Menu (if not already open)</w:t>
            </w:r>
          </w:p>
          <w:p w:rsidR="003B4AA4" w:rsidRDefault="00EF0335" w:rsidP="00770B2C">
            <w:pPr>
              <w:pStyle w:val="Bullet"/>
            </w:pPr>
            <w:r>
              <w:t xml:space="preserve">Click on ‘Start Search’ icon, and run ‘ECI Variable Identification’ query </w:t>
            </w:r>
          </w:p>
          <w:p w:rsidR="00770B2C" w:rsidRPr="00605DCE" w:rsidRDefault="00EF0335" w:rsidP="00EF0335">
            <w:pPr>
              <w:pStyle w:val="Bullet"/>
            </w:pPr>
            <w:r>
              <w:t>Expand and show results</w:t>
            </w:r>
          </w:p>
        </w:tc>
      </w:tr>
      <w:tr w:rsidR="00605DCE" w:rsidTr="003B4AA4">
        <w:tc>
          <w:tcPr>
            <w:tcW w:w="5418" w:type="dxa"/>
          </w:tcPr>
          <w:p w:rsidR="00605DCE" w:rsidRPr="00605DCE" w:rsidRDefault="00EF0335" w:rsidP="00605DCE">
            <w:pPr>
              <w:rPr>
                <w:sz w:val="20"/>
                <w:szCs w:val="20"/>
              </w:rPr>
            </w:pPr>
            <w:r>
              <w:rPr>
                <w:sz w:val="20"/>
                <w:szCs w:val="20"/>
              </w:rPr>
              <w:t xml:space="preserve">Having identified the variable, we can now tailor the query ‘Method Invocation with ECI Variable’ to find all method invocations that use this variable. Note how </w:t>
            </w:r>
            <w:proofErr w:type="gramStart"/>
            <w:r>
              <w:rPr>
                <w:sz w:val="20"/>
                <w:szCs w:val="20"/>
              </w:rPr>
              <w:t xml:space="preserve">selecting </w:t>
            </w:r>
            <w:r w:rsidR="00E169D6">
              <w:rPr>
                <w:sz w:val="20"/>
                <w:szCs w:val="20"/>
              </w:rPr>
              <w:t xml:space="preserve"> </w:t>
            </w:r>
            <w:r w:rsidR="000E1FA2">
              <w:rPr>
                <w:sz w:val="20"/>
                <w:szCs w:val="20"/>
              </w:rPr>
              <w:t>a</w:t>
            </w:r>
            <w:proofErr w:type="gramEnd"/>
            <w:r w:rsidR="000E1FA2">
              <w:rPr>
                <w:sz w:val="20"/>
                <w:szCs w:val="20"/>
              </w:rPr>
              <w:t xml:space="preserve">  r</w:t>
            </w:r>
            <w:r>
              <w:rPr>
                <w:sz w:val="20"/>
                <w:szCs w:val="20"/>
              </w:rPr>
              <w:t xml:space="preserve">esult </w:t>
            </w:r>
            <w:r w:rsidR="000E1FA2">
              <w:rPr>
                <w:sz w:val="20"/>
                <w:szCs w:val="20"/>
              </w:rPr>
              <w:lastRenderedPageBreak/>
              <w:t>is</w:t>
            </w:r>
            <w:r>
              <w:rPr>
                <w:sz w:val="20"/>
                <w:szCs w:val="20"/>
              </w:rPr>
              <w:t xml:space="preserve"> reflected in the other open views, </w:t>
            </w:r>
            <w:r w:rsidR="000E1FA2">
              <w:rPr>
                <w:sz w:val="20"/>
                <w:szCs w:val="20"/>
              </w:rPr>
              <w:t>e.g</w:t>
            </w:r>
            <w:r>
              <w:rPr>
                <w:sz w:val="20"/>
                <w:szCs w:val="20"/>
              </w:rPr>
              <w:t>. source and context.</w:t>
            </w:r>
          </w:p>
          <w:p w:rsidR="00605DCE" w:rsidRPr="00605DCE" w:rsidRDefault="00605DCE" w:rsidP="00496C89">
            <w:pPr>
              <w:rPr>
                <w:sz w:val="20"/>
                <w:szCs w:val="20"/>
              </w:rPr>
            </w:pPr>
          </w:p>
        </w:tc>
        <w:tc>
          <w:tcPr>
            <w:tcW w:w="4158" w:type="dxa"/>
          </w:tcPr>
          <w:p w:rsidR="00605DCE" w:rsidRDefault="00EF0335" w:rsidP="00770B2C">
            <w:pPr>
              <w:pStyle w:val="Bullet"/>
            </w:pPr>
            <w:r>
              <w:lastRenderedPageBreak/>
              <w:t>Click on ‘Start Search’ icon, and run ‘Method Invocation with ECI Variable’ query.</w:t>
            </w:r>
          </w:p>
          <w:p w:rsidR="003B4AA4" w:rsidRDefault="00EF0335" w:rsidP="00EF0335">
            <w:pPr>
              <w:pStyle w:val="Bullet"/>
            </w:pPr>
            <w:r>
              <w:lastRenderedPageBreak/>
              <w:t>Expand and show results</w:t>
            </w:r>
          </w:p>
          <w:p w:rsidR="00EF0335" w:rsidRPr="00605DCE" w:rsidRDefault="00EF0335" w:rsidP="004E6619">
            <w:pPr>
              <w:pStyle w:val="Bullet"/>
            </w:pPr>
            <w:r>
              <w:t>Select ‘</w:t>
            </w:r>
            <w:proofErr w:type="spellStart"/>
            <w:r w:rsidR="004E6619">
              <w:t>j</w:t>
            </w:r>
            <w:r>
              <w:t>gaconnection</w:t>
            </w:r>
            <w:r w:rsidR="004E6619">
              <w:t>.f</w:t>
            </w:r>
            <w:r>
              <w:t>low</w:t>
            </w:r>
            <w:proofErr w:type="spellEnd"/>
            <w:r>
              <w:t>(</w:t>
            </w:r>
            <w:proofErr w:type="spellStart"/>
            <w:r>
              <w:t>ECIRequest</w:t>
            </w:r>
            <w:proofErr w:type="spellEnd"/>
            <w:r>
              <w:t>) and then position on the line in Source View</w:t>
            </w:r>
          </w:p>
        </w:tc>
      </w:tr>
      <w:tr w:rsidR="00605DCE" w:rsidTr="003B4AA4">
        <w:tc>
          <w:tcPr>
            <w:tcW w:w="5418" w:type="dxa"/>
          </w:tcPr>
          <w:p w:rsidR="00605DCE" w:rsidRPr="00605DCE" w:rsidRDefault="004E6619" w:rsidP="00E916BD">
            <w:pPr>
              <w:rPr>
                <w:sz w:val="20"/>
                <w:szCs w:val="20"/>
              </w:rPr>
            </w:pPr>
            <w:r>
              <w:rPr>
                <w:sz w:val="20"/>
                <w:szCs w:val="20"/>
              </w:rPr>
              <w:lastRenderedPageBreak/>
              <w:t>By interrogating the properties of this method invocation, we can find the underlying method name.</w:t>
            </w:r>
          </w:p>
        </w:tc>
        <w:tc>
          <w:tcPr>
            <w:tcW w:w="4158" w:type="dxa"/>
          </w:tcPr>
          <w:p w:rsidR="00605DCE" w:rsidRDefault="004E6619" w:rsidP="00770B2C">
            <w:pPr>
              <w:pStyle w:val="Bullet"/>
            </w:pPr>
            <w:r>
              <w:t>Ensure position on ‘flow’ and Right-click.</w:t>
            </w:r>
          </w:p>
          <w:p w:rsidR="004E6619" w:rsidRPr="00605DCE" w:rsidRDefault="004E6619" w:rsidP="004E6619">
            <w:pPr>
              <w:pStyle w:val="Bullet"/>
            </w:pPr>
            <w:r>
              <w:t xml:space="preserve">Select ‘Properties’ </w:t>
            </w:r>
          </w:p>
        </w:tc>
      </w:tr>
      <w:tr w:rsidR="00605DCE" w:rsidTr="003B4AA4">
        <w:tc>
          <w:tcPr>
            <w:tcW w:w="5418" w:type="dxa"/>
          </w:tcPr>
          <w:p w:rsidR="00605DCE" w:rsidRPr="00605DCE" w:rsidRDefault="004E6619" w:rsidP="00E916BD">
            <w:pPr>
              <w:rPr>
                <w:sz w:val="20"/>
                <w:szCs w:val="20"/>
              </w:rPr>
            </w:pPr>
            <w:r>
              <w:rPr>
                <w:sz w:val="20"/>
                <w:szCs w:val="20"/>
              </w:rPr>
              <w:t>We can now configure EA to recognize where a cross-platform call exists by creating a ‘Boundary Decision’.  We add the method name to the ‘Program Entry Point’ pane of the Boundary Decision Dialog.  We could add a generic pattern using wildcards, but in this case we know the specific method name.  For the purposes of this demo, the Boundary decision has already been prepared.</w:t>
            </w:r>
          </w:p>
        </w:tc>
        <w:tc>
          <w:tcPr>
            <w:tcW w:w="4158" w:type="dxa"/>
          </w:tcPr>
          <w:p w:rsidR="004E6619" w:rsidRDefault="004E6619" w:rsidP="004E6619">
            <w:pPr>
              <w:pStyle w:val="Bullet"/>
            </w:pPr>
            <w:r>
              <w:t>Tools</w:t>
            </w:r>
          </w:p>
          <w:p w:rsidR="003B4AA4" w:rsidRDefault="004E6619" w:rsidP="004E6619">
            <w:pPr>
              <w:pStyle w:val="Bullet"/>
            </w:pPr>
            <w:r>
              <w:t>Workspace Options</w:t>
            </w:r>
          </w:p>
          <w:p w:rsidR="004E6619" w:rsidRDefault="004E6619" w:rsidP="004E6619">
            <w:pPr>
              <w:pStyle w:val="Bullet"/>
            </w:pPr>
            <w:r>
              <w:t>Boundary Decisions</w:t>
            </w:r>
          </w:p>
          <w:p w:rsidR="004E6619" w:rsidRPr="00605DCE" w:rsidRDefault="004E6619" w:rsidP="004E6619">
            <w:pPr>
              <w:pStyle w:val="Bullet"/>
            </w:pPr>
            <w:r>
              <w:t>Program Entry Point</w:t>
            </w:r>
          </w:p>
        </w:tc>
      </w:tr>
      <w:tr w:rsidR="00605DCE" w:rsidTr="003B4AA4">
        <w:tc>
          <w:tcPr>
            <w:tcW w:w="5418" w:type="dxa"/>
          </w:tcPr>
          <w:p w:rsidR="00605DCE" w:rsidRPr="00605DCE" w:rsidRDefault="004E6619" w:rsidP="000E1FA2">
            <w:pPr>
              <w:rPr>
                <w:sz w:val="20"/>
                <w:szCs w:val="20"/>
              </w:rPr>
            </w:pPr>
            <w:r>
              <w:rPr>
                <w:sz w:val="20"/>
                <w:szCs w:val="20"/>
              </w:rPr>
              <w:t xml:space="preserve">Boundary Decisions can be </w:t>
            </w:r>
            <w:r w:rsidR="000E1FA2">
              <w:rPr>
                <w:sz w:val="20"/>
                <w:szCs w:val="20"/>
              </w:rPr>
              <w:t>generate</w:t>
            </w:r>
            <w:r>
              <w:rPr>
                <w:sz w:val="20"/>
                <w:szCs w:val="20"/>
              </w:rPr>
              <w:t>d as part of the Verification Process, or later from the ‘Prepare’ menu on previously verified code.  We can see the decisions created by viewing the Decision Resolution pane.</w:t>
            </w:r>
            <w:r w:rsidR="00E916BD">
              <w:rPr>
                <w:sz w:val="20"/>
                <w:szCs w:val="20"/>
              </w:rPr>
              <w:t xml:space="preserve">  We can see the decision we have created for our method, as well as other decisions that EA has automatically resolved.</w:t>
            </w:r>
          </w:p>
        </w:tc>
        <w:tc>
          <w:tcPr>
            <w:tcW w:w="4158" w:type="dxa"/>
          </w:tcPr>
          <w:p w:rsidR="00857CB1" w:rsidRDefault="00E916BD" w:rsidP="00770B2C">
            <w:pPr>
              <w:pStyle w:val="Bullet"/>
            </w:pPr>
            <w:r>
              <w:t>Prepare</w:t>
            </w:r>
          </w:p>
          <w:p w:rsidR="00605DCE" w:rsidRDefault="00E916BD" w:rsidP="00770B2C">
            <w:pPr>
              <w:pStyle w:val="Bullet"/>
            </w:pPr>
            <w:r>
              <w:t>Decision Resolution</w:t>
            </w:r>
          </w:p>
          <w:p w:rsidR="00857CB1" w:rsidRPr="00605DCE" w:rsidRDefault="00E916BD" w:rsidP="00E916BD">
            <w:pPr>
              <w:pStyle w:val="Bullet"/>
            </w:pPr>
            <w:r>
              <w:t>Sort by Type</w:t>
            </w:r>
          </w:p>
        </w:tc>
      </w:tr>
      <w:tr w:rsidR="00605DCE" w:rsidTr="003B4AA4">
        <w:tc>
          <w:tcPr>
            <w:tcW w:w="5418" w:type="dxa"/>
          </w:tcPr>
          <w:p w:rsidR="00605DCE" w:rsidRPr="00605DCE" w:rsidRDefault="00E916BD" w:rsidP="000E1FA2">
            <w:pPr>
              <w:rPr>
                <w:sz w:val="20"/>
                <w:szCs w:val="20"/>
              </w:rPr>
            </w:pPr>
            <w:r>
              <w:rPr>
                <w:sz w:val="20"/>
                <w:szCs w:val="20"/>
              </w:rPr>
              <w:t xml:space="preserve">As yet, we have not resolved this decision to a target </w:t>
            </w:r>
            <w:r w:rsidR="000E1FA2">
              <w:rPr>
                <w:sz w:val="20"/>
                <w:szCs w:val="20"/>
              </w:rPr>
              <w:t>COBOL</w:t>
            </w:r>
            <w:r>
              <w:rPr>
                <w:sz w:val="20"/>
                <w:szCs w:val="20"/>
              </w:rPr>
              <w:t xml:space="preserve"> program.  We do this by checking the box for RTEMPLOY in the lower pane.  If we are satisfied that at this point we have completed our analysis, we can set complete on, to indicate that we have now completed all our decisions for a specific </w:t>
            </w:r>
            <w:r w:rsidR="000E1FA2">
              <w:rPr>
                <w:sz w:val="20"/>
                <w:szCs w:val="20"/>
              </w:rPr>
              <w:t>method</w:t>
            </w:r>
            <w:r>
              <w:rPr>
                <w:sz w:val="20"/>
                <w:szCs w:val="20"/>
              </w:rPr>
              <w:t>.</w:t>
            </w:r>
          </w:p>
        </w:tc>
        <w:tc>
          <w:tcPr>
            <w:tcW w:w="4158" w:type="dxa"/>
          </w:tcPr>
          <w:p w:rsidR="00605DCE" w:rsidRDefault="00E916BD" w:rsidP="00770B2C">
            <w:pPr>
              <w:pStyle w:val="Bullet"/>
            </w:pPr>
            <w:r>
              <w:t>Check RTEMPLOY</w:t>
            </w:r>
          </w:p>
          <w:p w:rsidR="003B4AA4" w:rsidRDefault="00E916BD" w:rsidP="00770B2C">
            <w:pPr>
              <w:pStyle w:val="Bullet"/>
            </w:pPr>
            <w:r>
              <w:t>Set Complete ON</w:t>
            </w:r>
            <w:r w:rsidR="000E1FA2">
              <w:t xml:space="preserve"> via right-click menu</w:t>
            </w:r>
          </w:p>
          <w:p w:rsidR="00E916BD" w:rsidRPr="00605DCE" w:rsidRDefault="00E916BD" w:rsidP="00E916BD">
            <w:pPr>
              <w:pStyle w:val="Bullet"/>
            </w:pPr>
            <w:r>
              <w:t>‘File’ Menu, and Save.</w:t>
            </w:r>
          </w:p>
        </w:tc>
      </w:tr>
      <w:tr w:rsidR="00605DCE" w:rsidTr="003B4AA4">
        <w:tc>
          <w:tcPr>
            <w:tcW w:w="5418" w:type="dxa"/>
          </w:tcPr>
          <w:p w:rsidR="00605DCE" w:rsidRPr="00605DCE" w:rsidRDefault="00E916BD" w:rsidP="000E1FA2">
            <w:pPr>
              <w:rPr>
                <w:sz w:val="20"/>
                <w:szCs w:val="20"/>
              </w:rPr>
            </w:pPr>
            <w:r>
              <w:rPr>
                <w:sz w:val="20"/>
                <w:szCs w:val="20"/>
              </w:rPr>
              <w:t xml:space="preserve">We now have the ability to report on our cross-platform calls. By selecting the Query Repository function, we see that there </w:t>
            </w:r>
            <w:proofErr w:type="gramStart"/>
            <w:r>
              <w:rPr>
                <w:sz w:val="20"/>
                <w:szCs w:val="20"/>
              </w:rPr>
              <w:t>are</w:t>
            </w:r>
            <w:proofErr w:type="gramEnd"/>
            <w:r>
              <w:rPr>
                <w:sz w:val="20"/>
                <w:szCs w:val="20"/>
              </w:rPr>
              <w:t xml:space="preserve"> specific Java to </w:t>
            </w:r>
            <w:r w:rsidR="000E1FA2">
              <w:rPr>
                <w:sz w:val="20"/>
                <w:szCs w:val="20"/>
              </w:rPr>
              <w:t>COBOL</w:t>
            </w:r>
            <w:r>
              <w:rPr>
                <w:sz w:val="20"/>
                <w:szCs w:val="20"/>
              </w:rPr>
              <w:t xml:space="preserve"> </w:t>
            </w:r>
            <w:r w:rsidR="000E1FA2">
              <w:rPr>
                <w:sz w:val="20"/>
                <w:szCs w:val="20"/>
              </w:rPr>
              <w:t>q</w:t>
            </w:r>
            <w:r>
              <w:rPr>
                <w:sz w:val="20"/>
                <w:szCs w:val="20"/>
              </w:rPr>
              <w:t>ueries according to context.</w:t>
            </w:r>
            <w:r w:rsidR="003B083E">
              <w:rPr>
                <w:sz w:val="20"/>
                <w:szCs w:val="20"/>
              </w:rPr>
              <w:t xml:space="preserve">  For example, we can see the queries available for Java Class, and for </w:t>
            </w:r>
            <w:r w:rsidR="000E1FA2">
              <w:rPr>
                <w:sz w:val="20"/>
                <w:szCs w:val="20"/>
              </w:rPr>
              <w:t>COBOL</w:t>
            </w:r>
            <w:r w:rsidR="003B083E">
              <w:rPr>
                <w:sz w:val="20"/>
                <w:szCs w:val="20"/>
              </w:rPr>
              <w:t xml:space="preserve"> Program.</w:t>
            </w:r>
          </w:p>
        </w:tc>
        <w:tc>
          <w:tcPr>
            <w:tcW w:w="4158" w:type="dxa"/>
          </w:tcPr>
          <w:p w:rsidR="00605DCE" w:rsidRDefault="003B083E" w:rsidP="00770B2C">
            <w:pPr>
              <w:pStyle w:val="Bullet"/>
            </w:pPr>
            <w:r>
              <w:t>Click on ‘Java Class’</w:t>
            </w:r>
          </w:p>
          <w:p w:rsidR="003B4AA4" w:rsidRDefault="003B083E" w:rsidP="00770B2C">
            <w:pPr>
              <w:pStyle w:val="Bullet"/>
            </w:pPr>
            <w:r>
              <w:t>Right-click and Select ‘Query Repository’</w:t>
            </w:r>
          </w:p>
          <w:p w:rsidR="003B083E" w:rsidRDefault="003B083E" w:rsidP="00770B2C">
            <w:pPr>
              <w:pStyle w:val="Bullet"/>
            </w:pPr>
            <w:r>
              <w:t xml:space="preserve">Run ‘Java </w:t>
            </w:r>
            <w:r w:rsidR="000E1FA2">
              <w:t>COBOL</w:t>
            </w:r>
            <w:r>
              <w:t xml:space="preserve"> Integration’</w:t>
            </w:r>
          </w:p>
          <w:p w:rsidR="003B083E" w:rsidRDefault="003B083E" w:rsidP="00770B2C">
            <w:pPr>
              <w:pStyle w:val="Bullet"/>
            </w:pPr>
            <w:r>
              <w:t>Click on ‘Program’</w:t>
            </w:r>
          </w:p>
          <w:p w:rsidR="003B083E" w:rsidRDefault="003B083E" w:rsidP="00770B2C">
            <w:pPr>
              <w:pStyle w:val="Bullet"/>
            </w:pPr>
            <w:r>
              <w:t>Right-click and select ‘Query Repository’</w:t>
            </w:r>
          </w:p>
          <w:p w:rsidR="003B083E" w:rsidRPr="00605DCE" w:rsidRDefault="003B083E" w:rsidP="000E1FA2">
            <w:pPr>
              <w:pStyle w:val="Bullet"/>
            </w:pPr>
            <w:r>
              <w:t>Run ‘Program ECI Dependenc</w:t>
            </w:r>
            <w:r w:rsidR="000E1FA2">
              <w:t>ies</w:t>
            </w:r>
            <w:r>
              <w:t xml:space="preserve">’  </w:t>
            </w:r>
          </w:p>
        </w:tc>
      </w:tr>
      <w:tr w:rsidR="003B083E" w:rsidTr="003B4AA4">
        <w:tc>
          <w:tcPr>
            <w:tcW w:w="5418" w:type="dxa"/>
          </w:tcPr>
          <w:p w:rsidR="003B083E" w:rsidRPr="00605DCE" w:rsidRDefault="003B083E" w:rsidP="009E5D1D">
            <w:pPr>
              <w:rPr>
                <w:sz w:val="20"/>
                <w:szCs w:val="20"/>
              </w:rPr>
            </w:pPr>
            <w:r>
              <w:rPr>
                <w:sz w:val="20"/>
                <w:szCs w:val="20"/>
              </w:rPr>
              <w:t xml:space="preserve">We can also add Java to </w:t>
            </w:r>
            <w:r w:rsidR="000E1FA2">
              <w:rPr>
                <w:sz w:val="20"/>
                <w:szCs w:val="20"/>
              </w:rPr>
              <w:t>COBOL</w:t>
            </w:r>
            <w:r>
              <w:rPr>
                <w:sz w:val="20"/>
                <w:szCs w:val="20"/>
              </w:rPr>
              <w:t xml:space="preserve"> scopes to the EA diagramming function.  We have a basic scope that shows all the steps from Java </w:t>
            </w:r>
            <w:r w:rsidR="009E5D1D">
              <w:rPr>
                <w:sz w:val="20"/>
                <w:szCs w:val="20"/>
              </w:rPr>
              <w:t>Method</w:t>
            </w:r>
            <w:r>
              <w:rPr>
                <w:sz w:val="20"/>
                <w:szCs w:val="20"/>
              </w:rPr>
              <w:t xml:space="preserve"> to the called program.  However, this can lead to a lot of ‘noise’ as much of the information relates to incomplete </w:t>
            </w:r>
            <w:r w:rsidR="009E5D1D">
              <w:rPr>
                <w:sz w:val="20"/>
                <w:szCs w:val="20"/>
              </w:rPr>
              <w:t xml:space="preserve">COBOL </w:t>
            </w:r>
            <w:r>
              <w:rPr>
                <w:sz w:val="20"/>
                <w:szCs w:val="20"/>
              </w:rPr>
              <w:t>chains.</w:t>
            </w:r>
            <w:r w:rsidR="00A42104">
              <w:rPr>
                <w:sz w:val="20"/>
                <w:szCs w:val="20"/>
              </w:rPr>
              <w:t xml:space="preserve">  This can be limited by creating a project that only contains classes that make calls to </w:t>
            </w:r>
            <w:r w:rsidR="000E1FA2">
              <w:rPr>
                <w:sz w:val="20"/>
                <w:szCs w:val="20"/>
              </w:rPr>
              <w:t>COBOL</w:t>
            </w:r>
            <w:r w:rsidR="00A42104">
              <w:rPr>
                <w:sz w:val="20"/>
                <w:szCs w:val="20"/>
              </w:rPr>
              <w:t xml:space="preserve"> programs.</w:t>
            </w:r>
          </w:p>
        </w:tc>
        <w:tc>
          <w:tcPr>
            <w:tcW w:w="4158" w:type="dxa"/>
          </w:tcPr>
          <w:p w:rsidR="003B083E" w:rsidRDefault="003B083E" w:rsidP="000D5613">
            <w:pPr>
              <w:pStyle w:val="Bullet"/>
            </w:pPr>
            <w:r>
              <w:t xml:space="preserve">Start </w:t>
            </w:r>
            <w:proofErr w:type="spellStart"/>
            <w:r>
              <w:t>Diagrammer</w:t>
            </w:r>
            <w:proofErr w:type="spellEnd"/>
          </w:p>
          <w:p w:rsidR="009E5D1D" w:rsidRDefault="009E5D1D" w:rsidP="009E5D1D">
            <w:pPr>
              <w:pStyle w:val="Bullet"/>
            </w:pPr>
            <w:r>
              <w:t>Select ‘</w:t>
            </w:r>
            <w:proofErr w:type="spellStart"/>
            <w:r>
              <w:t>JavatoCobolCalls</w:t>
            </w:r>
            <w:proofErr w:type="spellEnd"/>
            <w:r>
              <w:t>’ Project</w:t>
            </w:r>
          </w:p>
          <w:p w:rsidR="003B083E" w:rsidRPr="00605DCE" w:rsidRDefault="003B083E" w:rsidP="003B083E">
            <w:pPr>
              <w:pStyle w:val="Bullet"/>
            </w:pPr>
            <w:r>
              <w:t xml:space="preserve">Select ‘Java to </w:t>
            </w:r>
            <w:r w:rsidR="000E1FA2">
              <w:t>COBOL</w:t>
            </w:r>
            <w:r>
              <w:t xml:space="preserve"> (Basic)’ scope, and build the diagram</w:t>
            </w:r>
          </w:p>
        </w:tc>
      </w:tr>
      <w:tr w:rsidR="00605DCE" w:rsidTr="003B4AA4">
        <w:tc>
          <w:tcPr>
            <w:tcW w:w="5418" w:type="dxa"/>
          </w:tcPr>
          <w:p w:rsidR="00605DCE" w:rsidRPr="00605DCE" w:rsidRDefault="00A42104" w:rsidP="00605DCE">
            <w:pPr>
              <w:rPr>
                <w:sz w:val="20"/>
                <w:szCs w:val="20"/>
              </w:rPr>
            </w:pPr>
            <w:r>
              <w:rPr>
                <w:sz w:val="20"/>
                <w:szCs w:val="20"/>
              </w:rPr>
              <w:t xml:space="preserve">Another way of ensuring clarity is to create </w:t>
            </w:r>
            <w:r w:rsidR="003B083E">
              <w:rPr>
                <w:sz w:val="20"/>
                <w:szCs w:val="20"/>
              </w:rPr>
              <w:t xml:space="preserve">a </w:t>
            </w:r>
            <w:r w:rsidR="000B2FE6">
              <w:rPr>
                <w:sz w:val="20"/>
                <w:szCs w:val="20"/>
              </w:rPr>
              <w:t xml:space="preserve">composite relationship, </w:t>
            </w:r>
            <w:r w:rsidR="003B083E">
              <w:rPr>
                <w:sz w:val="20"/>
                <w:szCs w:val="20"/>
              </w:rPr>
              <w:t>thus</w:t>
            </w:r>
            <w:r w:rsidR="000B2FE6">
              <w:rPr>
                <w:sz w:val="20"/>
                <w:szCs w:val="20"/>
              </w:rPr>
              <w:t xml:space="preserve"> ensuring that incomplete relationships are not shown, </w:t>
            </w:r>
            <w:r w:rsidR="003B083E">
              <w:rPr>
                <w:sz w:val="20"/>
                <w:szCs w:val="20"/>
              </w:rPr>
              <w:t>and leaving only</w:t>
            </w:r>
            <w:r w:rsidR="000B2FE6">
              <w:rPr>
                <w:sz w:val="20"/>
                <w:szCs w:val="20"/>
              </w:rPr>
              <w:t xml:space="preserve"> the specific Java </w:t>
            </w:r>
            <w:r w:rsidR="000E1FA2">
              <w:rPr>
                <w:sz w:val="20"/>
                <w:szCs w:val="20"/>
              </w:rPr>
              <w:t>File</w:t>
            </w:r>
            <w:r w:rsidR="000B2FE6">
              <w:rPr>
                <w:sz w:val="20"/>
                <w:szCs w:val="20"/>
              </w:rPr>
              <w:t>s and the Legacy programs that they invoke.</w:t>
            </w:r>
          </w:p>
          <w:p w:rsidR="00605DCE" w:rsidRPr="00605DCE" w:rsidRDefault="00605DCE" w:rsidP="00496C89">
            <w:pPr>
              <w:rPr>
                <w:sz w:val="20"/>
                <w:szCs w:val="20"/>
              </w:rPr>
            </w:pPr>
          </w:p>
        </w:tc>
        <w:tc>
          <w:tcPr>
            <w:tcW w:w="4158" w:type="dxa"/>
          </w:tcPr>
          <w:p w:rsidR="00605DCE" w:rsidRPr="00605DCE" w:rsidRDefault="000B2FE6" w:rsidP="003B083E">
            <w:pPr>
              <w:pStyle w:val="Bullet"/>
            </w:pPr>
            <w:r>
              <w:t xml:space="preserve">Select ‘Java to </w:t>
            </w:r>
            <w:r w:rsidR="000E1FA2">
              <w:t>COBOL</w:t>
            </w:r>
            <w:r>
              <w:t xml:space="preserve"> </w:t>
            </w:r>
            <w:r w:rsidR="003B083E">
              <w:t>(Composite)</w:t>
            </w:r>
            <w:r>
              <w:t>’ scope, and rebuild the diagram</w:t>
            </w:r>
          </w:p>
        </w:tc>
      </w:tr>
      <w:tr w:rsidR="00605DCE" w:rsidTr="003B4AA4">
        <w:tc>
          <w:tcPr>
            <w:tcW w:w="5418" w:type="dxa"/>
          </w:tcPr>
          <w:p w:rsidR="00605DCE" w:rsidRPr="00605DCE" w:rsidRDefault="00605DCE" w:rsidP="00A42104">
            <w:pPr>
              <w:rPr>
                <w:sz w:val="20"/>
                <w:szCs w:val="20"/>
              </w:rPr>
            </w:pPr>
            <w:r w:rsidRPr="00605DCE">
              <w:rPr>
                <w:sz w:val="20"/>
                <w:szCs w:val="20"/>
              </w:rPr>
              <w:t xml:space="preserve">In summary, what we’ve done is to </w:t>
            </w:r>
            <w:r w:rsidR="000B2FE6">
              <w:rPr>
                <w:sz w:val="20"/>
                <w:szCs w:val="20"/>
              </w:rPr>
              <w:t xml:space="preserve">show how </w:t>
            </w:r>
            <w:r w:rsidR="00A42104">
              <w:rPr>
                <w:sz w:val="20"/>
                <w:szCs w:val="20"/>
              </w:rPr>
              <w:t xml:space="preserve">we can enable EA to identify how a </w:t>
            </w:r>
            <w:r w:rsidR="000B2FE6">
              <w:rPr>
                <w:sz w:val="20"/>
                <w:szCs w:val="20"/>
              </w:rPr>
              <w:t xml:space="preserve">front-end Java application communicates with a legacy (in this case </w:t>
            </w:r>
            <w:r w:rsidR="000E1FA2">
              <w:rPr>
                <w:sz w:val="20"/>
                <w:szCs w:val="20"/>
              </w:rPr>
              <w:t>COBOL</w:t>
            </w:r>
            <w:r w:rsidR="000B2FE6">
              <w:rPr>
                <w:sz w:val="20"/>
                <w:szCs w:val="20"/>
              </w:rPr>
              <w:t>) back end, and</w:t>
            </w:r>
            <w:r w:rsidR="00A42104">
              <w:rPr>
                <w:sz w:val="20"/>
                <w:szCs w:val="20"/>
              </w:rPr>
              <w:t xml:space="preserve"> thus </w:t>
            </w:r>
            <w:r w:rsidR="000B2FE6">
              <w:rPr>
                <w:sz w:val="20"/>
                <w:szCs w:val="20"/>
              </w:rPr>
              <w:t xml:space="preserve">identify the </w:t>
            </w:r>
            <w:r w:rsidR="00A42104">
              <w:rPr>
                <w:sz w:val="20"/>
                <w:szCs w:val="20"/>
              </w:rPr>
              <w:t>cross-platform legacy calls</w:t>
            </w:r>
            <w:r w:rsidR="000B2FE6">
              <w:rPr>
                <w:sz w:val="20"/>
                <w:szCs w:val="20"/>
              </w:rPr>
              <w:t xml:space="preserve"> that can be invoked.</w:t>
            </w:r>
          </w:p>
        </w:tc>
        <w:tc>
          <w:tcPr>
            <w:tcW w:w="4158" w:type="dxa"/>
          </w:tcPr>
          <w:p w:rsidR="00605DCE" w:rsidRPr="00605DCE" w:rsidRDefault="00605DCE" w:rsidP="00770B2C">
            <w:pPr>
              <w:pStyle w:val="Bullet"/>
              <w:numPr>
                <w:ilvl w:val="0"/>
                <w:numId w:val="0"/>
              </w:numPr>
            </w:pPr>
          </w:p>
        </w:tc>
      </w:tr>
    </w:tbl>
    <w:p w:rsidR="00605DCE" w:rsidRPr="00092A1F" w:rsidRDefault="00605DCE" w:rsidP="00D26ADC">
      <w:pPr>
        <w:rPr>
          <w:sz w:val="20"/>
          <w:szCs w:val="20"/>
          <w:u w:val="single"/>
        </w:rPr>
      </w:pPr>
    </w:p>
    <w:sectPr w:rsidR="00605DCE" w:rsidRPr="00092A1F" w:rsidSect="002302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B7AD3"/>
    <w:multiLevelType w:val="hybridMultilevel"/>
    <w:tmpl w:val="680C25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243277"/>
    <w:multiLevelType w:val="hybridMultilevel"/>
    <w:tmpl w:val="7390D45E"/>
    <w:lvl w:ilvl="0" w:tplc="D13A2ED0">
      <w:start w:val="1"/>
      <w:numFmt w:val="bullet"/>
      <w:pStyle w:val="Bullet"/>
      <w:lvlText w:val=""/>
      <w:lvlJc w:val="left"/>
      <w:pPr>
        <w:ind w:left="360" w:hanging="360"/>
      </w:pPr>
      <w:rPr>
        <w:rFonts w:ascii="Symbol" w:hAnsi="Symbol" w:hint="default"/>
        <w:b/>
        <w:i w:val="0"/>
        <w:color w:val="F8981D"/>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27C6044"/>
    <w:multiLevelType w:val="hybridMultilevel"/>
    <w:tmpl w:val="C1B023F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AE25004"/>
    <w:multiLevelType w:val="hybridMultilevel"/>
    <w:tmpl w:val="D9D20F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602D18"/>
    <w:multiLevelType w:val="hybridMultilevel"/>
    <w:tmpl w:val="64489662"/>
    <w:lvl w:ilvl="0" w:tplc="74FA1D8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7200"/>
    <w:rsid w:val="000011BE"/>
    <w:rsid w:val="000325DE"/>
    <w:rsid w:val="000735B2"/>
    <w:rsid w:val="00092A1F"/>
    <w:rsid w:val="000A2228"/>
    <w:rsid w:val="000B2FE6"/>
    <w:rsid w:val="000E1FA2"/>
    <w:rsid w:val="00105159"/>
    <w:rsid w:val="00195682"/>
    <w:rsid w:val="001E68D0"/>
    <w:rsid w:val="00213017"/>
    <w:rsid w:val="0021786D"/>
    <w:rsid w:val="00230295"/>
    <w:rsid w:val="002A63C7"/>
    <w:rsid w:val="00342BC6"/>
    <w:rsid w:val="003773F0"/>
    <w:rsid w:val="003A6AAF"/>
    <w:rsid w:val="003B083E"/>
    <w:rsid w:val="003B4AA4"/>
    <w:rsid w:val="003E5709"/>
    <w:rsid w:val="00414018"/>
    <w:rsid w:val="004201A6"/>
    <w:rsid w:val="00446F06"/>
    <w:rsid w:val="00453CF3"/>
    <w:rsid w:val="004E6619"/>
    <w:rsid w:val="00523448"/>
    <w:rsid w:val="00543E14"/>
    <w:rsid w:val="00553FB9"/>
    <w:rsid w:val="00582B8C"/>
    <w:rsid w:val="005F4090"/>
    <w:rsid w:val="005F4DE1"/>
    <w:rsid w:val="005F76E0"/>
    <w:rsid w:val="00605DCE"/>
    <w:rsid w:val="00607BAD"/>
    <w:rsid w:val="00610B1C"/>
    <w:rsid w:val="006775C5"/>
    <w:rsid w:val="00687200"/>
    <w:rsid w:val="007007CE"/>
    <w:rsid w:val="007028BF"/>
    <w:rsid w:val="007100A3"/>
    <w:rsid w:val="00770B2C"/>
    <w:rsid w:val="00784899"/>
    <w:rsid w:val="008446D9"/>
    <w:rsid w:val="00857CB1"/>
    <w:rsid w:val="00893228"/>
    <w:rsid w:val="008E22DE"/>
    <w:rsid w:val="00910E11"/>
    <w:rsid w:val="00952C19"/>
    <w:rsid w:val="009824D1"/>
    <w:rsid w:val="009A1C5D"/>
    <w:rsid w:val="009A7320"/>
    <w:rsid w:val="009E5D1D"/>
    <w:rsid w:val="00A2059B"/>
    <w:rsid w:val="00A42104"/>
    <w:rsid w:val="00A604DA"/>
    <w:rsid w:val="00A76536"/>
    <w:rsid w:val="00AC09FE"/>
    <w:rsid w:val="00B72397"/>
    <w:rsid w:val="00B90CD4"/>
    <w:rsid w:val="00BC676E"/>
    <w:rsid w:val="00BE207C"/>
    <w:rsid w:val="00CC4C7F"/>
    <w:rsid w:val="00CF6A87"/>
    <w:rsid w:val="00D26ADC"/>
    <w:rsid w:val="00D41956"/>
    <w:rsid w:val="00D65EDB"/>
    <w:rsid w:val="00E169D6"/>
    <w:rsid w:val="00E67747"/>
    <w:rsid w:val="00E73D88"/>
    <w:rsid w:val="00E91646"/>
    <w:rsid w:val="00E916BD"/>
    <w:rsid w:val="00ED77B1"/>
    <w:rsid w:val="00EF0335"/>
    <w:rsid w:val="00F0727C"/>
    <w:rsid w:val="00F3549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2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7200"/>
    <w:pPr>
      <w:ind w:left="720"/>
      <w:contextualSpacing/>
    </w:pPr>
  </w:style>
  <w:style w:type="paragraph" w:styleId="NormalWeb">
    <w:name w:val="Normal (Web)"/>
    <w:basedOn w:val="Normal"/>
    <w:uiPriority w:val="99"/>
    <w:semiHidden/>
    <w:unhideWhenUsed/>
    <w:rsid w:val="00092A1F"/>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605D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
    <w:name w:val="Bullet"/>
    <w:basedOn w:val="ListParagraph"/>
    <w:link w:val="BulletChar"/>
    <w:qFormat/>
    <w:rsid w:val="00770B2C"/>
    <w:pPr>
      <w:numPr>
        <w:numId w:val="5"/>
      </w:numPr>
      <w:spacing w:after="0" w:line="240" w:lineRule="auto"/>
    </w:pPr>
    <w:rPr>
      <w:sz w:val="20"/>
      <w:szCs w:val="20"/>
    </w:rPr>
  </w:style>
  <w:style w:type="character" w:customStyle="1" w:styleId="BulletChar">
    <w:name w:val="Bullet Char"/>
    <w:basedOn w:val="DefaultParagraphFont"/>
    <w:link w:val="Bullet"/>
    <w:rsid w:val="00770B2C"/>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7200"/>
    <w:pPr>
      <w:ind w:left="720"/>
      <w:contextualSpacing/>
    </w:pPr>
  </w:style>
  <w:style w:type="paragraph" w:styleId="NormalWeb">
    <w:name w:val="Normal (Web)"/>
    <w:basedOn w:val="Normal"/>
    <w:uiPriority w:val="99"/>
    <w:semiHidden/>
    <w:unhideWhenUsed/>
    <w:rsid w:val="00092A1F"/>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605D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
    <w:name w:val="Bullet"/>
    <w:basedOn w:val="ListParagraph"/>
    <w:link w:val="BulletChar"/>
    <w:qFormat/>
    <w:rsid w:val="00770B2C"/>
    <w:pPr>
      <w:numPr>
        <w:numId w:val="5"/>
      </w:numPr>
      <w:spacing w:after="0" w:line="240" w:lineRule="auto"/>
    </w:pPr>
    <w:rPr>
      <w:sz w:val="20"/>
      <w:szCs w:val="20"/>
    </w:rPr>
  </w:style>
  <w:style w:type="character" w:customStyle="1" w:styleId="BulletChar">
    <w:name w:val="Bullet Char"/>
    <w:basedOn w:val="DefaultParagraphFont"/>
    <w:link w:val="Bullet"/>
    <w:rsid w:val="00770B2C"/>
    <w:rPr>
      <w:sz w:val="20"/>
      <w:szCs w:val="20"/>
    </w:rPr>
  </w:style>
</w:styles>
</file>

<file path=word/webSettings.xml><?xml version="1.0" encoding="utf-8"?>
<w:webSettings xmlns:r="http://schemas.openxmlformats.org/officeDocument/2006/relationships" xmlns:w="http://schemas.openxmlformats.org/wordprocessingml/2006/main">
  <w:divs>
    <w:div w:id="579944130">
      <w:bodyDiv w:val="1"/>
      <w:marLeft w:val="0"/>
      <w:marRight w:val="0"/>
      <w:marTop w:val="0"/>
      <w:marBottom w:val="0"/>
      <w:divBdr>
        <w:top w:val="none" w:sz="0" w:space="0" w:color="auto"/>
        <w:left w:val="none" w:sz="0" w:space="0" w:color="auto"/>
        <w:bottom w:val="none" w:sz="0" w:space="0" w:color="auto"/>
        <w:right w:val="none" w:sz="0" w:space="0" w:color="auto"/>
      </w:divBdr>
    </w:div>
    <w:div w:id="727075096">
      <w:bodyDiv w:val="1"/>
      <w:marLeft w:val="0"/>
      <w:marRight w:val="0"/>
      <w:marTop w:val="0"/>
      <w:marBottom w:val="0"/>
      <w:divBdr>
        <w:top w:val="none" w:sz="0" w:space="0" w:color="auto"/>
        <w:left w:val="none" w:sz="0" w:space="0" w:color="auto"/>
        <w:bottom w:val="none" w:sz="0" w:space="0" w:color="auto"/>
        <w:right w:val="none" w:sz="0" w:space="0" w:color="auto"/>
      </w:divBdr>
    </w:div>
    <w:div w:id="742525980">
      <w:bodyDiv w:val="1"/>
      <w:marLeft w:val="0"/>
      <w:marRight w:val="0"/>
      <w:marTop w:val="0"/>
      <w:marBottom w:val="0"/>
      <w:divBdr>
        <w:top w:val="none" w:sz="0" w:space="0" w:color="auto"/>
        <w:left w:val="none" w:sz="0" w:space="0" w:color="auto"/>
        <w:bottom w:val="none" w:sz="0" w:space="0" w:color="auto"/>
        <w:right w:val="none" w:sz="0" w:space="0" w:color="auto"/>
      </w:divBdr>
    </w:div>
    <w:div w:id="1225676563">
      <w:bodyDiv w:val="1"/>
      <w:marLeft w:val="0"/>
      <w:marRight w:val="0"/>
      <w:marTop w:val="0"/>
      <w:marBottom w:val="0"/>
      <w:divBdr>
        <w:top w:val="none" w:sz="0" w:space="0" w:color="auto"/>
        <w:left w:val="none" w:sz="0" w:space="0" w:color="auto"/>
        <w:bottom w:val="none" w:sz="0" w:space="0" w:color="auto"/>
        <w:right w:val="none" w:sz="0" w:space="0" w:color="auto"/>
      </w:divBdr>
    </w:div>
    <w:div w:id="1956398611">
      <w:bodyDiv w:val="1"/>
      <w:marLeft w:val="0"/>
      <w:marRight w:val="0"/>
      <w:marTop w:val="0"/>
      <w:marBottom w:val="0"/>
      <w:divBdr>
        <w:top w:val="none" w:sz="0" w:space="0" w:color="auto"/>
        <w:left w:val="none" w:sz="0" w:space="0" w:color="auto"/>
        <w:bottom w:val="none" w:sz="0" w:space="0" w:color="auto"/>
        <w:right w:val="none" w:sz="0" w:space="0" w:color="auto"/>
      </w:divBdr>
    </w:div>
    <w:div w:id="207966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2</Pages>
  <Words>931</Words>
  <Characters>5313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 Focus</Company>
  <LinksUpToDate>false</LinksUpToDate>
  <CharactersWithSpaces>6232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Mannes Neuer</dc:creator>
  <cp:lastModifiedBy>davidba</cp:lastModifiedBy>
  <cp:revision>7</cp:revision>
  <cp:lastPrinted>2013-01-11T20:03:00Z</cp:lastPrinted>
  <dcterms:created xsi:type="dcterms:W3CDTF">2013-02-18T14:24:00Z</dcterms:created>
  <dcterms:modified xsi:type="dcterms:W3CDTF">2013-02-25T09:34:00Z</dcterms:modified>
</cp:coreProperties>
</file>